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68" w:rsidRPr="00B9383F" w:rsidRDefault="0023171B" w:rsidP="00975D68">
      <w:pPr>
        <w:pStyle w:val="Nzev"/>
        <w:jc w:val="center"/>
      </w:pPr>
      <w:r>
        <w:t xml:space="preserve">Zápis </w:t>
      </w:r>
    </w:p>
    <w:p w:rsidR="00975D68" w:rsidRPr="00B9383F" w:rsidRDefault="00975D68" w:rsidP="00975D68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z jednání pracovní skupiny komunitního plánování</w:t>
      </w:r>
    </w:p>
    <w:p w:rsidR="00975D68" w:rsidRPr="00B9383F" w:rsidRDefault="00975D68" w:rsidP="00975D68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„</w:t>
      </w:r>
      <w:r w:rsidR="002B6BD2">
        <w:rPr>
          <w:b/>
          <w:sz w:val="28"/>
          <w:szCs w:val="28"/>
        </w:rPr>
        <w:t>Senioři</w:t>
      </w:r>
      <w:r w:rsidRPr="00B9383F">
        <w:rPr>
          <w:b/>
          <w:sz w:val="28"/>
          <w:szCs w:val="28"/>
        </w:rPr>
        <w:t>“</w:t>
      </w:r>
    </w:p>
    <w:p w:rsidR="000C0EE5" w:rsidRPr="00B9383F" w:rsidRDefault="000C0EE5" w:rsidP="00975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7546"/>
      </w:tblGrid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7684" w:type="dxa"/>
            <w:shd w:val="clear" w:color="auto" w:fill="auto"/>
          </w:tcPr>
          <w:p w:rsidR="00975D68" w:rsidRPr="00B9383F" w:rsidRDefault="00651652" w:rsidP="00D364D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1</w:t>
            </w:r>
            <w:r w:rsidR="00D364D5">
              <w:rPr>
                <w:rFonts w:ascii="Times New Roman" w:hAnsi="Times New Roman"/>
                <w:sz w:val="20"/>
                <w:szCs w:val="20"/>
                <w:lang w:eastAsia="cs-CZ"/>
              </w:rPr>
              <w:t>3.10.2022</w:t>
            </w:r>
            <w:proofErr w:type="gramEnd"/>
            <w:r w:rsidR="00D364D5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, </w:t>
            </w:r>
            <w:r w:rsidR="00E2537A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9:00-11:00 hodin</w:t>
            </w:r>
          </w:p>
        </w:tc>
      </w:tr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7684" w:type="dxa"/>
            <w:shd w:val="clear" w:color="auto" w:fill="auto"/>
          </w:tcPr>
          <w:p w:rsidR="00975D68" w:rsidRPr="00E2537A" w:rsidRDefault="00D364D5" w:rsidP="00D364D5">
            <w:pPr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Spolkový dům, Karviná-Ráj</w:t>
            </w:r>
          </w:p>
        </w:tc>
      </w:tr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Přítomní:</w:t>
            </w:r>
          </w:p>
        </w:tc>
        <w:tc>
          <w:tcPr>
            <w:tcW w:w="7684" w:type="dxa"/>
            <w:shd w:val="clear" w:color="auto" w:fill="auto"/>
          </w:tcPr>
          <w:p w:rsidR="00975D68" w:rsidRPr="00E2537A" w:rsidRDefault="00283E3D" w:rsidP="00E00761">
            <w:pPr>
              <w:pStyle w:val="Bezmez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2537A">
              <w:rPr>
                <w:rFonts w:ascii="Times New Roman" w:hAnsi="Times New Roman"/>
                <w:sz w:val="20"/>
                <w:szCs w:val="20"/>
              </w:rPr>
              <w:t>Mgr.</w:t>
            </w:r>
            <w:r w:rsidR="001D7E7B"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 xml:space="preserve">Helena </w:t>
            </w:r>
            <w:proofErr w:type="spellStart"/>
            <w:r w:rsidRPr="00E2537A">
              <w:rPr>
                <w:rFonts w:ascii="Times New Roman" w:hAnsi="Times New Roman"/>
                <w:sz w:val="20"/>
                <w:szCs w:val="20"/>
              </w:rPr>
              <w:t>Waclawiková</w:t>
            </w:r>
            <w:proofErr w:type="spellEnd"/>
            <w:r w:rsidRPr="00E2537A">
              <w:rPr>
                <w:rFonts w:ascii="Times New Roman" w:hAnsi="Times New Roman"/>
                <w:sz w:val="20"/>
                <w:szCs w:val="20"/>
              </w:rPr>
              <w:t xml:space="preserve"> (hl.),</w:t>
            </w:r>
            <w:r w:rsidR="00C40A7E"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3A41" w:rsidRPr="00E2537A">
              <w:rPr>
                <w:rFonts w:ascii="Times New Roman" w:hAnsi="Times New Roman"/>
                <w:sz w:val="20"/>
                <w:szCs w:val="20"/>
              </w:rPr>
              <w:t xml:space="preserve">Bc. Jana Gavlovská (hl.), </w:t>
            </w:r>
            <w:r w:rsidR="00C26E8F"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537A">
              <w:rPr>
                <w:rFonts w:ascii="Times New Roman" w:hAnsi="Times New Roman"/>
                <w:sz w:val="20"/>
                <w:szCs w:val="20"/>
              </w:rPr>
              <w:t>Bc. Yvona Dziadková (hl.),</w:t>
            </w:r>
            <w:r w:rsidR="00E74DEC"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7F7F" w:rsidRPr="00E2537A">
              <w:rPr>
                <w:rFonts w:ascii="Times New Roman" w:hAnsi="Times New Roman"/>
                <w:sz w:val="20"/>
                <w:szCs w:val="20"/>
              </w:rPr>
              <w:t xml:space="preserve">pí Žaneta </w:t>
            </w:r>
            <w:r w:rsidR="00285A48" w:rsidRPr="00E2537A">
              <w:rPr>
                <w:rFonts w:ascii="Times New Roman" w:hAnsi="Times New Roman"/>
                <w:sz w:val="20"/>
                <w:szCs w:val="20"/>
              </w:rPr>
              <w:t>Pawliková</w:t>
            </w:r>
            <w:r w:rsidR="004D421A" w:rsidRPr="00E2537A">
              <w:rPr>
                <w:rFonts w:ascii="Times New Roman" w:hAnsi="Times New Roman"/>
                <w:sz w:val="20"/>
                <w:szCs w:val="20"/>
              </w:rPr>
              <w:t xml:space="preserve"> (hl.)</w:t>
            </w:r>
            <w:r w:rsidR="002B7F7F" w:rsidRPr="00E253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57F7B"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5A22" w:rsidRPr="00E2537A">
              <w:rPr>
                <w:rFonts w:ascii="Times New Roman" w:hAnsi="Times New Roman"/>
                <w:sz w:val="20"/>
                <w:szCs w:val="20"/>
              </w:rPr>
              <w:t>Bc. Denisa Chalupová (</w:t>
            </w:r>
            <w:r w:rsidR="00E00761">
              <w:rPr>
                <w:rFonts w:ascii="Times New Roman" w:hAnsi="Times New Roman"/>
                <w:sz w:val="20"/>
                <w:szCs w:val="20"/>
              </w:rPr>
              <w:t>hl</w:t>
            </w:r>
            <w:r w:rsidR="00E74DEC" w:rsidRPr="00E2537A">
              <w:rPr>
                <w:rFonts w:ascii="Times New Roman" w:hAnsi="Times New Roman"/>
                <w:sz w:val="20"/>
                <w:szCs w:val="20"/>
              </w:rPr>
              <w:t>.</w:t>
            </w:r>
            <w:r w:rsidR="0072157B" w:rsidRPr="00E2537A">
              <w:rPr>
                <w:rFonts w:ascii="Times New Roman" w:hAnsi="Times New Roman"/>
                <w:sz w:val="20"/>
                <w:szCs w:val="20"/>
              </w:rPr>
              <w:t>),</w:t>
            </w:r>
            <w:r w:rsidR="00DA3D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64D5" w:rsidRPr="00E2537A">
              <w:rPr>
                <w:rFonts w:ascii="Times New Roman" w:hAnsi="Times New Roman"/>
                <w:sz w:val="20"/>
                <w:szCs w:val="20"/>
              </w:rPr>
              <w:t>Bc. Veronika Bílá (hl.)</w:t>
            </w:r>
            <w:r w:rsidR="00D364D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32BD9">
              <w:rPr>
                <w:rFonts w:ascii="Times New Roman" w:hAnsi="Times New Roman"/>
                <w:sz w:val="20"/>
                <w:szCs w:val="20"/>
              </w:rPr>
              <w:t xml:space="preserve"> Bc. Monika </w:t>
            </w:r>
            <w:proofErr w:type="spellStart"/>
            <w:r w:rsidR="00B32BD9">
              <w:rPr>
                <w:rFonts w:ascii="Times New Roman" w:hAnsi="Times New Roman"/>
                <w:sz w:val="20"/>
                <w:szCs w:val="20"/>
              </w:rPr>
              <w:t>Potyšová</w:t>
            </w:r>
            <w:proofErr w:type="spellEnd"/>
            <w:r w:rsidR="00B32BD9">
              <w:rPr>
                <w:rFonts w:ascii="Times New Roman" w:hAnsi="Times New Roman"/>
                <w:sz w:val="20"/>
                <w:szCs w:val="20"/>
              </w:rPr>
              <w:t xml:space="preserve"> (hl.),</w:t>
            </w:r>
            <w:r w:rsidR="00B32BD9" w:rsidRPr="00C26E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3D75">
              <w:rPr>
                <w:rFonts w:ascii="Times New Roman" w:hAnsi="Times New Roman"/>
                <w:sz w:val="20"/>
                <w:szCs w:val="20"/>
              </w:rPr>
              <w:t>Bc. Jarmila Kretková</w:t>
            </w:r>
            <w:r w:rsidR="00D364D5">
              <w:rPr>
                <w:rFonts w:ascii="Times New Roman" w:hAnsi="Times New Roman"/>
                <w:sz w:val="20"/>
                <w:szCs w:val="20"/>
              </w:rPr>
              <w:t xml:space="preserve">, Mgr. Renáta Gore </w:t>
            </w:r>
            <w:r w:rsidR="00E00761">
              <w:rPr>
                <w:rFonts w:ascii="Times New Roman" w:hAnsi="Times New Roman"/>
                <w:sz w:val="20"/>
                <w:szCs w:val="20"/>
              </w:rPr>
              <w:t>(hl.), Šárka Filipová (hl.)</w:t>
            </w:r>
            <w:r w:rsidR="00B32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Omluveni:</w:t>
            </w:r>
          </w:p>
        </w:tc>
        <w:tc>
          <w:tcPr>
            <w:tcW w:w="7684" w:type="dxa"/>
            <w:shd w:val="clear" w:color="auto" w:fill="auto"/>
          </w:tcPr>
          <w:p w:rsidR="00975D68" w:rsidRPr="00883A41" w:rsidRDefault="00B32BD9" w:rsidP="00D364D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E2537A">
              <w:rPr>
                <w:rFonts w:ascii="Times New Roman" w:hAnsi="Times New Roman"/>
                <w:sz w:val="20"/>
                <w:szCs w:val="20"/>
              </w:rPr>
              <w:t>mgr</w:t>
            </w:r>
            <w:proofErr w:type="spellEnd"/>
            <w:r w:rsidRPr="00E2537A">
              <w:rPr>
                <w:rFonts w:ascii="Times New Roman" w:hAnsi="Times New Roman"/>
                <w:sz w:val="20"/>
                <w:szCs w:val="20"/>
              </w:rPr>
              <w:t xml:space="preserve"> et Bc. Marie Pollaková (hl.), </w:t>
            </w:r>
            <w:r w:rsidR="00D364D5" w:rsidRPr="0072157B">
              <w:rPr>
                <w:rFonts w:ascii="Times New Roman" w:hAnsi="Times New Roman"/>
                <w:sz w:val="20"/>
                <w:szCs w:val="20"/>
              </w:rPr>
              <w:t>Bc</w:t>
            </w:r>
            <w:r w:rsidR="00D364D5">
              <w:rPr>
                <w:rFonts w:ascii="Times New Roman" w:hAnsi="Times New Roman"/>
                <w:sz w:val="20"/>
                <w:szCs w:val="20"/>
              </w:rPr>
              <w:t>. Andrea Wiechećová (koordinátor KP)</w:t>
            </w:r>
            <w:r w:rsidR="00E007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00761" w:rsidRPr="00C26E8F">
              <w:rPr>
                <w:rFonts w:ascii="Times New Roman" w:hAnsi="Times New Roman"/>
                <w:sz w:val="20"/>
                <w:szCs w:val="20"/>
              </w:rPr>
              <w:t xml:space="preserve"> Bc. Barbora Ka</w:t>
            </w:r>
            <w:r w:rsidR="00E00761">
              <w:rPr>
                <w:rFonts w:ascii="Times New Roman" w:hAnsi="Times New Roman"/>
                <w:sz w:val="20"/>
                <w:szCs w:val="20"/>
              </w:rPr>
              <w:t>hánková, lic.</w:t>
            </w:r>
          </w:p>
        </w:tc>
      </w:tr>
      <w:tr w:rsidR="00975D68" w:rsidRPr="00B9383F" w:rsidTr="007A1974">
        <w:trPr>
          <w:trHeight w:val="276"/>
        </w:trPr>
        <w:tc>
          <w:tcPr>
            <w:tcW w:w="1526" w:type="dxa"/>
            <w:shd w:val="clear" w:color="auto" w:fill="auto"/>
            <w:vAlign w:val="center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975D68" w:rsidRPr="0072157B" w:rsidRDefault="00DA3D75" w:rsidP="007D26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Bc. </w:t>
            </w:r>
            <w:r w:rsidR="00D364D5">
              <w:rPr>
                <w:rFonts w:ascii="Times New Roman" w:hAnsi="Times New Roman"/>
                <w:sz w:val="20"/>
                <w:szCs w:val="20"/>
              </w:rPr>
              <w:t xml:space="preserve">Jan </w:t>
            </w:r>
            <w:proofErr w:type="spellStart"/>
            <w:r w:rsidR="00D364D5">
              <w:rPr>
                <w:rFonts w:ascii="Times New Roman" w:hAnsi="Times New Roman"/>
                <w:sz w:val="20"/>
                <w:szCs w:val="20"/>
              </w:rPr>
              <w:t>Hrnčiarová</w:t>
            </w:r>
            <w:proofErr w:type="spellEnd"/>
            <w:r w:rsidR="00C26E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(ÚP)</w:t>
            </w:r>
            <w:r w:rsidR="00D364D5">
              <w:rPr>
                <w:rFonts w:ascii="Times New Roman" w:hAnsi="Times New Roman"/>
                <w:sz w:val="20"/>
                <w:szCs w:val="20"/>
              </w:rPr>
              <w:t xml:space="preserve">, Irena Šafářová, Kristina </w:t>
            </w:r>
            <w:proofErr w:type="spellStart"/>
            <w:r w:rsidR="00D364D5">
              <w:rPr>
                <w:rFonts w:ascii="Times New Roman" w:hAnsi="Times New Roman"/>
                <w:sz w:val="20"/>
                <w:szCs w:val="20"/>
              </w:rPr>
              <w:t>Unucková</w:t>
            </w:r>
            <w:proofErr w:type="spellEnd"/>
            <w:r w:rsidR="00D364D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00761">
              <w:rPr>
                <w:rFonts w:ascii="Times New Roman" w:hAnsi="Times New Roman"/>
                <w:sz w:val="20"/>
                <w:szCs w:val="20"/>
              </w:rPr>
              <w:t>Renáta Drá</w:t>
            </w:r>
            <w:r w:rsidR="007D268E">
              <w:rPr>
                <w:rFonts w:ascii="Times New Roman" w:hAnsi="Times New Roman"/>
                <w:sz w:val="20"/>
                <w:szCs w:val="20"/>
              </w:rPr>
              <w:t>b</w:t>
            </w:r>
            <w:r w:rsidR="00E00761">
              <w:rPr>
                <w:rFonts w:ascii="Times New Roman" w:hAnsi="Times New Roman"/>
                <w:sz w:val="20"/>
                <w:szCs w:val="20"/>
              </w:rPr>
              <w:t>ková</w:t>
            </w:r>
          </w:p>
        </w:tc>
      </w:tr>
      <w:tr w:rsidR="00975D68" w:rsidRPr="00B9383F" w:rsidTr="007A1974">
        <w:tc>
          <w:tcPr>
            <w:tcW w:w="1526" w:type="dxa"/>
            <w:shd w:val="clear" w:color="auto" w:fill="auto"/>
            <w:vAlign w:val="center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Zapsal: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975D68" w:rsidRPr="00B9383F" w:rsidRDefault="00651652" w:rsidP="00974BB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Bc. Yvona Dziadková</w:t>
            </w:r>
          </w:p>
        </w:tc>
      </w:tr>
    </w:tbl>
    <w:p w:rsidR="00F86078" w:rsidRDefault="00975D68" w:rsidP="000C0EE5">
      <w:pPr>
        <w:spacing w:after="0"/>
        <w:rPr>
          <w:i/>
        </w:rPr>
      </w:pPr>
      <w:r w:rsidRPr="00B9383F">
        <w:rPr>
          <w:i/>
        </w:rPr>
        <w:t xml:space="preserve">Pracovní skupina </w:t>
      </w:r>
      <w:r w:rsidR="00C40A7E" w:rsidRPr="0019759B">
        <w:rPr>
          <w:b/>
          <w:i/>
          <w:u w:val="single"/>
          <w:shd w:val="clear" w:color="auto" w:fill="FFFF00"/>
        </w:rPr>
        <w:t>je</w:t>
      </w:r>
      <w:r w:rsidRPr="00B9383F">
        <w:rPr>
          <w:i/>
        </w:rPr>
        <w:t xml:space="preserve"> </w:t>
      </w:r>
      <w:r w:rsidRPr="00C40A7E">
        <w:t>–</w:t>
      </w:r>
      <w:r w:rsidR="00047FB9" w:rsidRPr="00C40A7E">
        <w:t xml:space="preserve"> </w:t>
      </w:r>
      <w:r w:rsidRPr="0019759B">
        <w:rPr>
          <w:i/>
        </w:rPr>
        <w:t>není</w:t>
      </w:r>
      <w:r w:rsidRPr="00047FB9">
        <w:rPr>
          <w:i/>
        </w:rPr>
        <w:t xml:space="preserve"> </w:t>
      </w:r>
      <w:r w:rsidRPr="00B9383F">
        <w:rPr>
          <w:i/>
        </w:rPr>
        <w:t>usnášení schopna.</w:t>
      </w:r>
    </w:p>
    <w:p w:rsidR="00975D68" w:rsidRPr="00516545" w:rsidRDefault="00C3712D" w:rsidP="00ED5A11">
      <w:pPr>
        <w:keepNext/>
        <w:keepLines/>
        <w:spacing w:before="200"/>
        <w:jc w:val="both"/>
        <w:rPr>
          <w:rFonts w:ascii="Times New Roman" w:eastAsia="Cambria" w:hAnsi="Times New Roman"/>
          <w:b/>
          <w:color w:val="4F81BD"/>
          <w:sz w:val="26"/>
          <w:lang w:eastAsia="cs-CZ"/>
        </w:rPr>
      </w:pPr>
      <w:r>
        <w:rPr>
          <w:rFonts w:ascii="Times New Roman" w:eastAsia="Cambria" w:hAnsi="Times New Roman"/>
          <w:b/>
          <w:color w:val="4F81BD"/>
          <w:sz w:val="26"/>
          <w:lang w:eastAsia="cs-CZ"/>
        </w:rPr>
        <w:t>Pr</w:t>
      </w:r>
      <w:r w:rsidR="00975D68" w:rsidRPr="00B9383F">
        <w:rPr>
          <w:rFonts w:ascii="Times New Roman" w:eastAsia="Cambria" w:hAnsi="Times New Roman"/>
          <w:b/>
          <w:color w:val="4F81BD"/>
          <w:sz w:val="26"/>
          <w:lang w:eastAsia="cs-CZ"/>
        </w:rPr>
        <w:t>ogram:</w:t>
      </w:r>
    </w:p>
    <w:p w:rsidR="00516545" w:rsidRDefault="00516545" w:rsidP="00890A18">
      <w:pPr>
        <w:pStyle w:val="Normlnweb"/>
        <w:numPr>
          <w:ilvl w:val="0"/>
          <w:numId w:val="1"/>
        </w:numPr>
        <w:spacing w:before="0" w:beforeAutospacing="0" w:after="0" w:afterAutospacing="0"/>
        <w:ind w:left="284" w:hanging="273"/>
        <w:jc w:val="both"/>
        <w:rPr>
          <w:rFonts w:eastAsia="Calibri"/>
          <w:lang w:eastAsia="en-US"/>
        </w:rPr>
      </w:pPr>
      <w:r w:rsidRPr="00516545">
        <w:rPr>
          <w:rFonts w:eastAsia="Calibri"/>
          <w:lang w:eastAsia="en-US"/>
        </w:rPr>
        <w:t>Zahájení</w:t>
      </w:r>
      <w:r w:rsidR="008A140A">
        <w:rPr>
          <w:rFonts w:eastAsia="Calibri"/>
          <w:lang w:eastAsia="en-US"/>
        </w:rPr>
        <w:t xml:space="preserve"> </w:t>
      </w:r>
      <w:r w:rsidR="00DA19BA">
        <w:rPr>
          <w:rFonts w:eastAsia="Calibri"/>
          <w:lang w:eastAsia="en-US"/>
        </w:rPr>
        <w:t>(kontrola a revize složení PS, kontaktů, zda je PS usnášení schopná)</w:t>
      </w:r>
    </w:p>
    <w:p w:rsidR="00516545" w:rsidRDefault="00516545" w:rsidP="00890A18">
      <w:pPr>
        <w:pStyle w:val="Normln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eastAsia="Calibri"/>
          <w:lang w:eastAsia="en-US"/>
        </w:rPr>
      </w:pPr>
      <w:r w:rsidRPr="00651652">
        <w:rPr>
          <w:rFonts w:eastAsia="Calibri"/>
          <w:lang w:eastAsia="en-US"/>
        </w:rPr>
        <w:t>P</w:t>
      </w:r>
      <w:r w:rsidR="008A140A" w:rsidRPr="00651652">
        <w:rPr>
          <w:rFonts w:eastAsia="Calibri"/>
          <w:lang w:eastAsia="en-US"/>
        </w:rPr>
        <w:t xml:space="preserve">lnění priorit a opatření </w:t>
      </w:r>
      <w:r w:rsidR="00806A03" w:rsidRPr="00651652">
        <w:rPr>
          <w:rFonts w:eastAsia="Calibri"/>
          <w:lang w:eastAsia="en-US"/>
        </w:rPr>
        <w:t>komunitního plánování</w:t>
      </w:r>
      <w:r w:rsidR="00651652">
        <w:rPr>
          <w:rFonts w:eastAsia="Calibri"/>
          <w:lang w:eastAsia="en-US"/>
        </w:rPr>
        <w:t xml:space="preserve"> (plány aktivit v roce 2022, evaluace</w:t>
      </w:r>
      <w:r w:rsidR="00DA19BA">
        <w:rPr>
          <w:rFonts w:eastAsia="Calibri"/>
          <w:lang w:eastAsia="en-US"/>
        </w:rPr>
        <w:t>)</w:t>
      </w:r>
    </w:p>
    <w:p w:rsidR="00DA19BA" w:rsidRPr="00651652" w:rsidRDefault="00E00761" w:rsidP="00890A18">
      <w:pPr>
        <w:pStyle w:val="Normln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Tvorba </w:t>
      </w:r>
      <w:r w:rsidR="00DA19BA">
        <w:rPr>
          <w:rFonts w:eastAsia="Calibri"/>
          <w:lang w:eastAsia="en-US"/>
        </w:rPr>
        <w:t>SWOT analýzy</w:t>
      </w:r>
      <w:r>
        <w:rPr>
          <w:rFonts w:eastAsia="Calibri"/>
          <w:lang w:eastAsia="en-US"/>
        </w:rPr>
        <w:t xml:space="preserve"> pro nový Komunitní plán</w:t>
      </w:r>
    </w:p>
    <w:p w:rsidR="00806A03" w:rsidRDefault="00E00761" w:rsidP="00DB1C47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516545">
        <w:rPr>
          <w:rFonts w:eastAsia="Calibri"/>
          <w:lang w:eastAsia="en-US"/>
        </w:rPr>
        <w:t xml:space="preserve">.  </w:t>
      </w:r>
      <w:r w:rsidR="00317168">
        <w:rPr>
          <w:rFonts w:eastAsia="Calibri"/>
          <w:lang w:eastAsia="en-US"/>
        </w:rPr>
        <w:t>P</w:t>
      </w:r>
      <w:r w:rsidR="00806A03">
        <w:rPr>
          <w:rFonts w:eastAsia="Calibri"/>
          <w:lang w:eastAsia="en-US"/>
        </w:rPr>
        <w:t>ředání obecných informací zadavatele, poskytovatelů o změnách v jednotlivých službách</w:t>
      </w:r>
    </w:p>
    <w:p w:rsidR="0079367D" w:rsidRDefault="00E00761" w:rsidP="005A6BA6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161E37">
        <w:rPr>
          <w:rFonts w:eastAsia="Calibri"/>
          <w:lang w:eastAsia="en-US"/>
        </w:rPr>
        <w:t xml:space="preserve">.  </w:t>
      </w:r>
      <w:r w:rsidR="00161E37" w:rsidRPr="00516545">
        <w:rPr>
          <w:rFonts w:eastAsia="Calibri"/>
          <w:lang w:eastAsia="en-US"/>
        </w:rPr>
        <w:t xml:space="preserve">Ukončení  </w:t>
      </w:r>
    </w:p>
    <w:p w:rsidR="0079367D" w:rsidRDefault="0079367D" w:rsidP="005A6BA6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651652" w:rsidRPr="00DA19BA" w:rsidRDefault="00161E37" w:rsidP="0079367D">
      <w:pPr>
        <w:pStyle w:val="Normlnweb"/>
        <w:spacing w:before="0" w:beforeAutospacing="0" w:after="0" w:afterAutospacing="0"/>
        <w:jc w:val="both"/>
        <w:rPr>
          <w:b/>
        </w:rPr>
      </w:pPr>
      <w:r w:rsidRPr="00516545">
        <w:rPr>
          <w:rFonts w:eastAsia="Calibri"/>
          <w:lang w:eastAsia="en-US"/>
        </w:rPr>
        <w:t> </w:t>
      </w:r>
    </w:p>
    <w:p w:rsidR="00DA19BA" w:rsidRDefault="00DA19BA" w:rsidP="00890A18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 w:rsidRPr="00DA19BA">
        <w:rPr>
          <w:rFonts w:eastAsia="Calibri"/>
          <w:b/>
          <w:lang w:eastAsia="en-US"/>
        </w:rPr>
        <w:t>Zahájení (kontrola a revize složení PS, kontaktů, zda je PS usnášení schopná)</w:t>
      </w:r>
    </w:p>
    <w:p w:rsidR="00DA3D75" w:rsidRDefault="00DA3D75" w:rsidP="00DA3D75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</w:p>
    <w:p w:rsidR="00DA3D75" w:rsidRDefault="00DA3D75" w:rsidP="00DA3D75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Jednání pracovní skupiny komunitního plánování „Senioři“ zahájila Mgr. Helena </w:t>
      </w:r>
      <w:proofErr w:type="spellStart"/>
      <w:r>
        <w:rPr>
          <w:rFonts w:eastAsia="Calibri"/>
          <w:lang w:eastAsia="en-US"/>
        </w:rPr>
        <w:t>Waclawiková</w:t>
      </w:r>
      <w:proofErr w:type="spellEnd"/>
      <w:r>
        <w:rPr>
          <w:rFonts w:eastAsia="Calibri"/>
          <w:lang w:eastAsia="en-US"/>
        </w:rPr>
        <w:t>, manažerka pracovní</w:t>
      </w:r>
      <w:r w:rsidR="004B2BC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skupiny</w:t>
      </w:r>
      <w:r w:rsidR="00E00761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="00E00761">
        <w:rPr>
          <w:rFonts w:eastAsia="Calibri"/>
          <w:lang w:eastAsia="en-US"/>
        </w:rPr>
        <w:t xml:space="preserve">Současně byla provedena kontrola složení pracovní skupiny a uvedených kontaktů. </w:t>
      </w:r>
      <w:r w:rsidR="004B2BCB">
        <w:rPr>
          <w:rFonts w:eastAsia="Calibri"/>
          <w:lang w:eastAsia="en-US"/>
        </w:rPr>
        <w:t>Přivítal</w:t>
      </w:r>
      <w:r w:rsidR="00E00761">
        <w:rPr>
          <w:rFonts w:eastAsia="Calibri"/>
          <w:lang w:eastAsia="en-US"/>
        </w:rPr>
        <w:t>a</w:t>
      </w:r>
      <w:r w:rsidR="004B2BCB">
        <w:rPr>
          <w:rFonts w:eastAsia="Calibri"/>
          <w:lang w:eastAsia="en-US"/>
        </w:rPr>
        <w:t xml:space="preserve"> všechny přítomné, včetně stálých hostů.</w:t>
      </w:r>
      <w:r w:rsidR="00E00761">
        <w:rPr>
          <w:rFonts w:eastAsia="Calibri"/>
          <w:lang w:eastAsia="en-US"/>
        </w:rPr>
        <w:t xml:space="preserve"> Nově přivítala i p. Irenu Šafářovou, která nahradí paní Wojnarovou, co by zástupce občanů města Karviné. Vyzvala členy k hlasování o členství jmenované. Jednohlasně byla zvolena. Dále přivítala přítomné hosty, paní </w:t>
      </w:r>
      <w:proofErr w:type="spellStart"/>
      <w:r w:rsidR="00E00761">
        <w:rPr>
          <w:rFonts w:eastAsia="Calibri"/>
          <w:lang w:eastAsia="en-US"/>
        </w:rPr>
        <w:t>Unuckovou</w:t>
      </w:r>
      <w:proofErr w:type="spellEnd"/>
      <w:r w:rsidR="00E00761">
        <w:rPr>
          <w:rFonts w:eastAsia="Calibri"/>
          <w:lang w:eastAsia="en-US"/>
        </w:rPr>
        <w:t xml:space="preserve">, dobrovolnici ADRY a paní Drábkovou, obě se zajímaly o činnost pracovní skupiny. </w:t>
      </w:r>
      <w:bookmarkStart w:id="0" w:name="_GoBack"/>
      <w:bookmarkEnd w:id="0"/>
      <w:r w:rsidR="004B2BCB">
        <w:rPr>
          <w:rFonts w:eastAsia="Calibri"/>
          <w:lang w:eastAsia="en-US"/>
        </w:rPr>
        <w:t xml:space="preserve">Manažerka pracovní skupiny seznámila všechny přítomné s dnešním programem. </w:t>
      </w:r>
    </w:p>
    <w:p w:rsidR="00E00761" w:rsidRDefault="00E00761" w:rsidP="00DA3D75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 důvodu přítomných hostů vyzvala zástupce jednotlivých služeb, aby hostům představili činnost svých služeb.</w:t>
      </w:r>
    </w:p>
    <w:p w:rsidR="00E00761" w:rsidRDefault="00E00761" w:rsidP="00DA3D75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</w:p>
    <w:p w:rsidR="00AE2D50" w:rsidRPr="00AE2D50" w:rsidRDefault="00AE2D50" w:rsidP="00890A18">
      <w:pPr>
        <w:pStyle w:val="Odstavecseseznamem"/>
        <w:numPr>
          <w:ilvl w:val="0"/>
          <w:numId w:val="2"/>
        </w:numPr>
        <w:rPr>
          <w:rFonts w:ascii="Times New Roman" w:eastAsia="Calibri" w:hAnsi="Times New Roman"/>
          <w:b/>
          <w:sz w:val="24"/>
          <w:szCs w:val="24"/>
        </w:rPr>
      </w:pPr>
      <w:r w:rsidRPr="00AE2D50">
        <w:rPr>
          <w:rFonts w:ascii="Times New Roman" w:eastAsia="Calibri" w:hAnsi="Times New Roman"/>
          <w:b/>
          <w:sz w:val="24"/>
          <w:szCs w:val="24"/>
        </w:rPr>
        <w:t>Plnění priorit a opatření komunitního plánování (plány aktivit v roce 2022, evaluace)</w:t>
      </w:r>
    </w:p>
    <w:p w:rsidR="00DA19BA" w:rsidRPr="00AE2D50" w:rsidRDefault="00AE2D50" w:rsidP="00AE2D50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AE2D50">
        <w:rPr>
          <w:rFonts w:eastAsia="Calibri"/>
          <w:lang w:eastAsia="en-US"/>
        </w:rPr>
        <w:t>Realizace stávajících opatření a pri</w:t>
      </w:r>
      <w:r>
        <w:rPr>
          <w:rFonts w:eastAsia="Calibri"/>
          <w:lang w:eastAsia="en-US"/>
        </w:rPr>
        <w:t>o</w:t>
      </w:r>
      <w:r w:rsidRPr="00AE2D50">
        <w:rPr>
          <w:rFonts w:eastAsia="Calibri"/>
          <w:lang w:eastAsia="en-US"/>
        </w:rPr>
        <w:t>r</w:t>
      </w:r>
      <w:r>
        <w:rPr>
          <w:rFonts w:eastAsia="Calibri"/>
          <w:lang w:eastAsia="en-US"/>
        </w:rPr>
        <w:t>i</w:t>
      </w:r>
      <w:r w:rsidRPr="00AE2D50">
        <w:rPr>
          <w:rFonts w:eastAsia="Calibri"/>
          <w:lang w:eastAsia="en-US"/>
        </w:rPr>
        <w:t>t beze změn</w:t>
      </w:r>
      <w:r>
        <w:rPr>
          <w:rFonts w:eastAsia="Calibri"/>
          <w:lang w:eastAsia="en-US"/>
        </w:rPr>
        <w:t>.</w:t>
      </w:r>
    </w:p>
    <w:p w:rsidR="00C30A1D" w:rsidRDefault="00C30A1D" w:rsidP="00C30A1D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AE2D50" w:rsidRPr="00AE2D50" w:rsidRDefault="00AE2D50" w:rsidP="00C30A1D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AE2D50" w:rsidRPr="00AE2D50" w:rsidRDefault="00AE2D50" w:rsidP="00890A18">
      <w:pPr>
        <w:pStyle w:val="Odstavecseseznamem"/>
        <w:numPr>
          <w:ilvl w:val="0"/>
          <w:numId w:val="2"/>
        </w:numPr>
        <w:rPr>
          <w:rFonts w:ascii="Times New Roman" w:eastAsia="Calibri" w:hAnsi="Times New Roman"/>
          <w:b/>
          <w:sz w:val="24"/>
          <w:szCs w:val="24"/>
        </w:rPr>
      </w:pPr>
      <w:r w:rsidRPr="00AE2D50">
        <w:rPr>
          <w:rFonts w:ascii="Times New Roman" w:eastAsia="Calibri" w:hAnsi="Times New Roman"/>
          <w:b/>
          <w:sz w:val="24"/>
          <w:szCs w:val="24"/>
        </w:rPr>
        <w:lastRenderedPageBreak/>
        <w:t>Tvorba SWOT analýzy pro nový Komunitní plán</w:t>
      </w:r>
    </w:p>
    <w:p w:rsidR="00DA19BA" w:rsidRDefault="00AE2D50" w:rsidP="00AE2D50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  <w:r w:rsidRPr="00AE2D50">
        <w:rPr>
          <w:rFonts w:eastAsia="Calibri"/>
          <w:lang w:eastAsia="en-US"/>
        </w:rPr>
        <w:t>Manažerka vyzvala k tvorbě SWOT a</w:t>
      </w:r>
      <w:r>
        <w:rPr>
          <w:rFonts w:eastAsia="Calibri"/>
          <w:lang w:eastAsia="en-US"/>
        </w:rPr>
        <w:t>na</w:t>
      </w:r>
      <w:r w:rsidRPr="00AE2D50">
        <w:rPr>
          <w:rFonts w:eastAsia="Calibri"/>
          <w:lang w:eastAsia="en-US"/>
        </w:rPr>
        <w:t>lýzy</w:t>
      </w:r>
      <w:r>
        <w:rPr>
          <w:rFonts w:eastAsia="Calibri"/>
          <w:lang w:eastAsia="en-US"/>
        </w:rPr>
        <w:t xml:space="preserve"> formou </w:t>
      </w:r>
      <w:proofErr w:type="spellStart"/>
      <w:r>
        <w:rPr>
          <w:rFonts w:eastAsia="Calibri"/>
          <w:lang w:eastAsia="en-US"/>
        </w:rPr>
        <w:t>breinstormingu</w:t>
      </w:r>
      <w:proofErr w:type="spellEnd"/>
      <w:r w:rsidRPr="00AE2D50">
        <w:rPr>
          <w:rFonts w:eastAsia="Calibri"/>
          <w:lang w:eastAsia="en-US"/>
        </w:rPr>
        <w:t>:</w:t>
      </w:r>
    </w:p>
    <w:p w:rsidR="00AE2D50" w:rsidRDefault="00AE2D50" w:rsidP="00AE2D50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Vytvořen následující návrh SWOT analýzy:</w:t>
      </w:r>
    </w:p>
    <w:p w:rsidR="00136E99" w:rsidRDefault="00136E99" w:rsidP="00AE2D50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</w:p>
    <w:tbl>
      <w:tblPr>
        <w:tblStyle w:val="Svtltabulkasmkou1zvraznn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6E99" w:rsidRPr="0011431E" w:rsidTr="002857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36E99" w:rsidRDefault="00136E99" w:rsidP="002857DB"/>
          <w:p w:rsidR="00136E99" w:rsidRPr="009604A0" w:rsidRDefault="00136E99" w:rsidP="002857DB">
            <w:pPr>
              <w:rPr>
                <w:u w:val="single"/>
              </w:rPr>
            </w:pPr>
            <w:r w:rsidRPr="009604A0">
              <w:rPr>
                <w:u w:val="single"/>
              </w:rPr>
              <w:t>Silné stránky</w:t>
            </w:r>
          </w:p>
          <w:p w:rsidR="00136E99" w:rsidRDefault="00136E99" w:rsidP="00890A18">
            <w:pPr>
              <w:pStyle w:val="Odstavecseseznamem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široké spektrum služeb</w:t>
            </w:r>
          </w:p>
          <w:p w:rsidR="00136E99" w:rsidRDefault="00136E99" w:rsidP="00890A18">
            <w:pPr>
              <w:pStyle w:val="Odstavecseseznamem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fungující volnočasové aktivity</w:t>
            </w:r>
          </w:p>
          <w:p w:rsidR="00136E99" w:rsidRDefault="00136E99" w:rsidP="00890A18">
            <w:pPr>
              <w:pStyle w:val="Odstavecseseznamem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podpora mobility seniorů (Senior taxi, Sanitou.cz.)</w:t>
            </w:r>
          </w:p>
          <w:p w:rsidR="00136E99" w:rsidRDefault="00136E99" w:rsidP="00890A18">
            <w:pPr>
              <w:pStyle w:val="Odstavecseseznamem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 xml:space="preserve">spolupráce zdravotně sociálních pracovníků nemocnic se soc. službami, pracovníky MMK </w:t>
            </w:r>
          </w:p>
          <w:p w:rsidR="00136E99" w:rsidRDefault="00136E99" w:rsidP="00890A18">
            <w:pPr>
              <w:pStyle w:val="Odstavecseseznamem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zajištění služeb pro sociálně slabé seniory (terénní program SSK)</w:t>
            </w:r>
          </w:p>
          <w:p w:rsidR="00136E99" w:rsidRPr="00AF6762" w:rsidRDefault="00136E99" w:rsidP="002857DB"/>
        </w:tc>
        <w:tc>
          <w:tcPr>
            <w:tcW w:w="4531" w:type="dxa"/>
          </w:tcPr>
          <w:p w:rsidR="00136E99" w:rsidRDefault="00136E99" w:rsidP="002857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36E99" w:rsidRPr="009604A0" w:rsidRDefault="00136E99" w:rsidP="002857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9604A0">
              <w:rPr>
                <w:u w:val="single"/>
              </w:rPr>
              <w:t>Slabé stránky</w:t>
            </w:r>
          </w:p>
          <w:p w:rsidR="00136E99" w:rsidRDefault="00136E99" w:rsidP="00890A18">
            <w:pPr>
              <w:pStyle w:val="Odstavecseseznamem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přijatelná informovanost o SS i pro seniory</w:t>
            </w:r>
          </w:p>
          <w:p w:rsidR="00136E99" w:rsidRDefault="00136E99" w:rsidP="00890A18">
            <w:pPr>
              <w:pStyle w:val="Odstavecseseznamem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menší zájem o spolupráci ze strany praktických lékařů (vytíženost)</w:t>
            </w:r>
          </w:p>
          <w:p w:rsidR="00136E99" w:rsidRDefault="00136E99" w:rsidP="00890A18">
            <w:pPr>
              <w:pStyle w:val="Odstavecseseznamem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chybí bydlení se službou 24/7 pro seniory </w:t>
            </w:r>
          </w:p>
          <w:p w:rsidR="00136E99" w:rsidRDefault="00136E99" w:rsidP="00890A18">
            <w:pPr>
              <w:pStyle w:val="Odstavecseseznamem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chybí komunitní bydlení pro seniory s podporou</w:t>
            </w:r>
          </w:p>
          <w:p w:rsidR="00136E99" w:rsidRDefault="00136E99" w:rsidP="00890A18">
            <w:pPr>
              <w:pStyle w:val="Odstavecseseznamem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nezájem soběstačných seniorů o informace o nabídce SS</w:t>
            </w:r>
          </w:p>
          <w:p w:rsidR="00136E99" w:rsidRDefault="00136E99" w:rsidP="00890A18">
            <w:pPr>
              <w:pStyle w:val="Odstavecseseznamem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nedostupnost ordinací praktických lékařů z důvodu </w:t>
            </w:r>
            <w:proofErr w:type="spellStart"/>
            <w:r>
              <w:rPr>
                <w:b w:val="0"/>
              </w:rPr>
              <w:t>bariérovosti</w:t>
            </w:r>
            <w:proofErr w:type="spellEnd"/>
            <w:r>
              <w:rPr>
                <w:b w:val="0"/>
              </w:rPr>
              <w:t xml:space="preserve"> a neochota lékařů provádět návštěvy v domácnostech pacientů</w:t>
            </w:r>
          </w:p>
          <w:p w:rsidR="00136E99" w:rsidRDefault="00136E99" w:rsidP="00890A18">
            <w:pPr>
              <w:pStyle w:val="Odstavecseseznamem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nedostatek zubařů</w:t>
            </w:r>
          </w:p>
          <w:p w:rsidR="00136E99" w:rsidRPr="0011431E" w:rsidRDefault="00136E99" w:rsidP="002857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6E99" w:rsidTr="002857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36E99" w:rsidRDefault="00136E99" w:rsidP="002857DB"/>
          <w:p w:rsidR="00136E99" w:rsidRPr="009604A0" w:rsidRDefault="00136E99" w:rsidP="002857DB">
            <w:pPr>
              <w:rPr>
                <w:u w:val="single"/>
              </w:rPr>
            </w:pPr>
            <w:r w:rsidRPr="009604A0">
              <w:rPr>
                <w:u w:val="single"/>
              </w:rPr>
              <w:t>Příležitosti</w:t>
            </w:r>
          </w:p>
          <w:p w:rsidR="00136E99" w:rsidRPr="00D902C8" w:rsidRDefault="00136E99" w:rsidP="00890A18">
            <w:pPr>
              <w:pStyle w:val="Odstavecseseznamem"/>
              <w:numPr>
                <w:ilvl w:val="0"/>
                <w:numId w:val="3"/>
              </w:numPr>
              <w:rPr>
                <w:b w:val="0"/>
              </w:rPr>
            </w:pPr>
            <w:r w:rsidRPr="00D902C8">
              <w:rPr>
                <w:b w:val="0"/>
              </w:rPr>
              <w:t>podpora dobrovolnictví s cílem předcházet osamělosti seniorů, zejména v domácnostech</w:t>
            </w:r>
          </w:p>
          <w:p w:rsidR="00136E99" w:rsidRDefault="00136E99" w:rsidP="00890A18">
            <w:pPr>
              <w:pStyle w:val="Odstavecseseznamem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podpora služeb pro setrvání seniorů v přirozeném domácím prostředí</w:t>
            </w:r>
          </w:p>
          <w:p w:rsidR="00136E99" w:rsidRDefault="00136E99" w:rsidP="00890A18">
            <w:pPr>
              <w:pStyle w:val="Odstavecseseznamem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zacílení volnočasových aktivit pro seniory na širší obyvatelstvo</w:t>
            </w:r>
          </w:p>
          <w:p w:rsidR="00136E99" w:rsidRDefault="00136E99" w:rsidP="00890A18">
            <w:pPr>
              <w:pStyle w:val="Odstavecseseznamem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cílit informace o SS na širší rodinné příslušníky</w:t>
            </w:r>
          </w:p>
          <w:p w:rsidR="00136E99" w:rsidRPr="008C63FA" w:rsidRDefault="00136E99" w:rsidP="00890A18">
            <w:pPr>
              <w:pStyle w:val="Odstavecseseznamem"/>
              <w:numPr>
                <w:ilvl w:val="0"/>
                <w:numId w:val="3"/>
              </w:numPr>
              <w:rPr>
                <w:bCs w:val="0"/>
              </w:rPr>
            </w:pPr>
            <w:r>
              <w:rPr>
                <w:b w:val="0"/>
              </w:rPr>
              <w:t>multidisciplinární tým, který by navštívil seniora doma</w:t>
            </w:r>
          </w:p>
          <w:p w:rsidR="00136E99" w:rsidRDefault="00136E99" w:rsidP="002857DB">
            <w:pPr>
              <w:pStyle w:val="Odstavecseseznamem"/>
              <w:ind w:left="360"/>
            </w:pPr>
          </w:p>
        </w:tc>
        <w:tc>
          <w:tcPr>
            <w:tcW w:w="4531" w:type="dxa"/>
          </w:tcPr>
          <w:p w:rsidR="00136E99" w:rsidRDefault="00136E99" w:rsidP="00285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36E99" w:rsidRPr="009604A0" w:rsidRDefault="00136E99" w:rsidP="00285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9604A0">
              <w:rPr>
                <w:b/>
                <w:u w:val="single"/>
              </w:rPr>
              <w:t>Hrozby</w:t>
            </w:r>
          </w:p>
          <w:p w:rsidR="00136E99" w:rsidRDefault="00136E99" w:rsidP="00890A18">
            <w:pPr>
              <w:pStyle w:val="Odstavecseseznamem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nesolventnost seniorů z důvodu předlužení</w:t>
            </w:r>
          </w:p>
          <w:p w:rsidR="00136E99" w:rsidRDefault="00136E99" w:rsidP="00890A18">
            <w:pPr>
              <w:pStyle w:val="Odstavecseseznamem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nedostatek personálu v SS (nezájem mladých)</w:t>
            </w:r>
          </w:p>
          <w:p w:rsidR="00136E99" w:rsidRDefault="00136E99" w:rsidP="00890A18">
            <w:pPr>
              <w:pStyle w:val="Odstavecseseznamem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nedostatečné financování SS</w:t>
            </w:r>
          </w:p>
          <w:p w:rsidR="00136E99" w:rsidRDefault="00136E99" w:rsidP="00890A18">
            <w:pPr>
              <w:pStyle w:val="Odstavecseseznamem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nezvládání nových technologií k vyřizování svých záležitostí (např. dávek)</w:t>
            </w:r>
          </w:p>
          <w:p w:rsidR="00136E99" w:rsidRDefault="00136E99" w:rsidP="00890A18">
            <w:pPr>
              <w:pStyle w:val="Odstavecseseznamem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soc. vyloučení z hlediska </w:t>
            </w:r>
            <w:proofErr w:type="spellStart"/>
            <w:r>
              <w:t>bariérovosti</w:t>
            </w:r>
            <w:proofErr w:type="spellEnd"/>
            <w:r>
              <w:t xml:space="preserve"> bytových domů</w:t>
            </w:r>
          </w:p>
          <w:p w:rsidR="00136E99" w:rsidRDefault="00136E99" w:rsidP="00890A18">
            <w:pPr>
              <w:pStyle w:val="Odstavecseseznamem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zhoršující se situace seniorů z důvodu ekonomických turbulencí</w:t>
            </w:r>
          </w:p>
          <w:p w:rsidR="00136E99" w:rsidRDefault="00136E99" w:rsidP="002857DB">
            <w:pPr>
              <w:pStyle w:val="Odstavecseseznamem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E2D50" w:rsidRDefault="00AE2D50" w:rsidP="00AE2D50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</w:p>
    <w:p w:rsidR="00DA19BA" w:rsidRPr="00AE2D50" w:rsidRDefault="00DA19BA" w:rsidP="00AE2D50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</w:p>
    <w:p w:rsidR="00DA19BA" w:rsidRPr="00DA19BA" w:rsidRDefault="00DA19BA" w:rsidP="00DA19BA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</w:p>
    <w:p w:rsidR="00DA19BA" w:rsidRDefault="00DA19BA" w:rsidP="00890A18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 w:rsidRPr="00DA19BA">
        <w:rPr>
          <w:rFonts w:eastAsia="Calibri"/>
          <w:b/>
          <w:lang w:eastAsia="en-US"/>
        </w:rPr>
        <w:t>Předání obecných informací zadavatele, poskytovatelů o změnách v jednotlivých službách</w:t>
      </w:r>
    </w:p>
    <w:p w:rsidR="00436D66" w:rsidRDefault="00436D66" w:rsidP="00436D66">
      <w:pPr>
        <w:pStyle w:val="Normlnweb"/>
        <w:spacing w:before="0" w:beforeAutospacing="0" w:after="0" w:afterAutospacing="0"/>
        <w:ind w:left="142"/>
        <w:jc w:val="both"/>
        <w:rPr>
          <w:rFonts w:eastAsia="Calibri"/>
          <w:b/>
          <w:lang w:eastAsia="en-US"/>
        </w:rPr>
      </w:pPr>
    </w:p>
    <w:p w:rsidR="00AE2D50" w:rsidRDefault="00AE2D50" w:rsidP="00436D66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p. Renáta </w:t>
      </w:r>
      <w:proofErr w:type="spellStart"/>
      <w:r>
        <w:rPr>
          <w:rFonts w:eastAsia="Calibri"/>
          <w:lang w:eastAsia="en-US"/>
        </w:rPr>
        <w:t>Góre</w:t>
      </w:r>
      <w:proofErr w:type="spellEnd"/>
      <w:r>
        <w:rPr>
          <w:rFonts w:eastAsia="Calibri"/>
          <w:lang w:eastAsia="en-US"/>
        </w:rPr>
        <w:t xml:space="preserve"> – upřesňuje informace, které zazněly na minulé PS, a to ohledně kapacity Domácí ošetřovatelské péče (DOP). Kapacitu mají dostatečnou kapacitu, neodmítají žádné požadavky na DOP.</w:t>
      </w:r>
    </w:p>
    <w:p w:rsidR="00AE2D50" w:rsidRDefault="00AE2D50" w:rsidP="00436D66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Občanka – dotaz na zařízení </w:t>
      </w:r>
      <w:proofErr w:type="spellStart"/>
      <w:r>
        <w:rPr>
          <w:rFonts w:eastAsia="Calibri"/>
          <w:lang w:eastAsia="en-US"/>
        </w:rPr>
        <w:t>Senecura</w:t>
      </w:r>
      <w:proofErr w:type="spellEnd"/>
      <w:r>
        <w:rPr>
          <w:rFonts w:eastAsia="Calibri"/>
          <w:lang w:eastAsia="en-US"/>
        </w:rPr>
        <w:t>, Havířov- dotaz zodpovězen</w:t>
      </w:r>
      <w:r w:rsidR="00136E99">
        <w:rPr>
          <w:rFonts w:eastAsia="Calibri"/>
          <w:lang w:eastAsia="en-US"/>
        </w:rPr>
        <w:t xml:space="preserve"> p. </w:t>
      </w:r>
      <w:proofErr w:type="spellStart"/>
      <w:r w:rsidR="00136E99">
        <w:rPr>
          <w:rFonts w:eastAsia="Calibri"/>
          <w:lang w:eastAsia="en-US"/>
        </w:rPr>
        <w:t>Góre</w:t>
      </w:r>
      <w:proofErr w:type="spellEnd"/>
    </w:p>
    <w:p w:rsidR="00136E99" w:rsidRDefault="00136E99" w:rsidP="00436D66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Občanka – dotaz ohledně výchovného k důchodu – dotaz zodpovězen p. </w:t>
      </w:r>
      <w:proofErr w:type="spellStart"/>
      <w:r>
        <w:rPr>
          <w:rFonts w:eastAsia="Calibri"/>
          <w:lang w:eastAsia="en-US"/>
        </w:rPr>
        <w:t>Gavlovskou</w:t>
      </w:r>
      <w:proofErr w:type="spellEnd"/>
    </w:p>
    <w:p w:rsidR="00136E99" w:rsidRDefault="00136E99" w:rsidP="00436D66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Občanka – dotaz na možnost aktivit v Novém domově – zodpovězeno p. </w:t>
      </w:r>
      <w:proofErr w:type="spellStart"/>
      <w:r>
        <w:rPr>
          <w:rFonts w:eastAsia="Calibri"/>
          <w:lang w:eastAsia="en-US"/>
        </w:rPr>
        <w:t>Waclawikovou</w:t>
      </w:r>
      <w:proofErr w:type="spellEnd"/>
    </w:p>
    <w:p w:rsidR="00DA19BA" w:rsidRPr="00DA19BA" w:rsidRDefault="004B2BCB" w:rsidP="00DA19BA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7</w:t>
      </w:r>
      <w:r w:rsidR="00DA19BA" w:rsidRPr="00DA19BA">
        <w:rPr>
          <w:rFonts w:eastAsia="Calibri"/>
          <w:b/>
          <w:lang w:eastAsia="en-US"/>
        </w:rPr>
        <w:t>.  Ukončení   </w:t>
      </w:r>
    </w:p>
    <w:p w:rsidR="00DA19BA" w:rsidRDefault="00DA19BA" w:rsidP="00DA19B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4D20AB" w:rsidRDefault="00261EBA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Další termín setkání pracovní skupiny KP „Senioři“ bude dne </w:t>
      </w:r>
      <w:proofErr w:type="gramStart"/>
      <w:r w:rsidR="00136E99">
        <w:rPr>
          <w:rFonts w:ascii="Times New Roman" w:hAnsi="Times New Roman"/>
          <w:sz w:val="24"/>
          <w:szCs w:val="24"/>
        </w:rPr>
        <w:t>24.11</w:t>
      </w:r>
      <w:r>
        <w:rPr>
          <w:rFonts w:ascii="Times New Roman" w:hAnsi="Times New Roman"/>
          <w:sz w:val="24"/>
          <w:szCs w:val="24"/>
        </w:rPr>
        <w:t>.2022</w:t>
      </w:r>
      <w:proofErr w:type="gramEnd"/>
      <w:r>
        <w:rPr>
          <w:rFonts w:ascii="Times New Roman" w:hAnsi="Times New Roman"/>
          <w:sz w:val="24"/>
          <w:szCs w:val="24"/>
        </w:rPr>
        <w:t xml:space="preserve"> v 09:-11:00 hodin ve Spolkovém domě v Karviné-Ráji. </w:t>
      </w:r>
      <w:r w:rsidR="00C3712D" w:rsidRPr="00055060">
        <w:rPr>
          <w:rFonts w:ascii="Times New Roman" w:hAnsi="Times New Roman"/>
          <w:sz w:val="24"/>
          <w:szCs w:val="24"/>
        </w:rPr>
        <w:t>Př</w:t>
      </w:r>
      <w:r w:rsidR="00055060" w:rsidRPr="00055060">
        <w:rPr>
          <w:rFonts w:ascii="Times New Roman" w:hAnsi="Times New Roman"/>
          <w:sz w:val="24"/>
          <w:szCs w:val="24"/>
        </w:rPr>
        <w:t xml:space="preserve">ípadné změny </w:t>
      </w:r>
      <w:r w:rsidR="00A902BA">
        <w:rPr>
          <w:rFonts w:ascii="Times New Roman" w:hAnsi="Times New Roman"/>
          <w:sz w:val="24"/>
          <w:szCs w:val="24"/>
        </w:rPr>
        <w:t>termín</w:t>
      </w:r>
      <w:r>
        <w:rPr>
          <w:rFonts w:ascii="Times New Roman" w:hAnsi="Times New Roman"/>
          <w:sz w:val="24"/>
          <w:szCs w:val="24"/>
        </w:rPr>
        <w:t>u</w:t>
      </w:r>
      <w:r w:rsidR="00A902BA">
        <w:rPr>
          <w:rFonts w:ascii="Times New Roman" w:hAnsi="Times New Roman"/>
          <w:sz w:val="24"/>
          <w:szCs w:val="24"/>
        </w:rPr>
        <w:t xml:space="preserve"> či místa konání </w:t>
      </w:r>
      <w:r w:rsidR="00055060" w:rsidRPr="00055060">
        <w:rPr>
          <w:rFonts w:ascii="Times New Roman" w:hAnsi="Times New Roman"/>
          <w:sz w:val="24"/>
          <w:szCs w:val="24"/>
        </w:rPr>
        <w:t>budou</w:t>
      </w:r>
      <w:r w:rsidR="00C3712D" w:rsidRPr="00055060">
        <w:rPr>
          <w:rFonts w:ascii="Times New Roman" w:hAnsi="Times New Roman"/>
          <w:sz w:val="24"/>
          <w:szCs w:val="24"/>
        </w:rPr>
        <w:t xml:space="preserve"> upřesněn</w:t>
      </w:r>
      <w:r w:rsidR="00055060" w:rsidRPr="00055060">
        <w:rPr>
          <w:rFonts w:ascii="Times New Roman" w:hAnsi="Times New Roman"/>
          <w:sz w:val="24"/>
          <w:szCs w:val="24"/>
        </w:rPr>
        <w:t>y</w:t>
      </w:r>
      <w:r w:rsidR="00C3712D" w:rsidRPr="00055060">
        <w:rPr>
          <w:rFonts w:ascii="Times New Roman" w:hAnsi="Times New Roman"/>
          <w:sz w:val="24"/>
          <w:szCs w:val="24"/>
        </w:rPr>
        <w:t xml:space="preserve"> prostřednictvím e-mailu.</w:t>
      </w:r>
    </w:p>
    <w:p w:rsidR="001F35AB" w:rsidRDefault="001F35AB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5AB" w:rsidRDefault="001F35AB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Vysvětlivky: </w:t>
      </w:r>
    </w:p>
    <w:p w:rsidR="00513DD4" w:rsidRPr="006E6A83" w:rsidRDefault="001F35AB" w:rsidP="001F35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KP (komunitní plánování), hl. (hlasování), ÚP (Úřad práce), SSK (Sociální služby Karviná)</w:t>
      </w:r>
    </w:p>
    <w:p w:rsidR="00C3712D" w:rsidRDefault="00C3712D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13C" w:rsidRDefault="0004513C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114F" w:rsidRPr="00B9383F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 xml:space="preserve">V Karviné dne  </w:t>
      </w:r>
      <w:proofErr w:type="gramStart"/>
      <w:r w:rsidR="00DA19BA">
        <w:rPr>
          <w:rFonts w:ascii="Times New Roman" w:hAnsi="Times New Roman"/>
          <w:sz w:val="24"/>
          <w:szCs w:val="24"/>
        </w:rPr>
        <w:t>1</w:t>
      </w:r>
      <w:r w:rsidR="00136E99">
        <w:rPr>
          <w:rFonts w:ascii="Times New Roman" w:hAnsi="Times New Roman"/>
          <w:sz w:val="24"/>
          <w:szCs w:val="24"/>
        </w:rPr>
        <w:t>3.10</w:t>
      </w:r>
      <w:r w:rsidR="00DA19BA">
        <w:rPr>
          <w:rFonts w:ascii="Times New Roman" w:hAnsi="Times New Roman"/>
          <w:sz w:val="24"/>
          <w:szCs w:val="24"/>
        </w:rPr>
        <w:t>.2022</w:t>
      </w:r>
      <w:proofErr w:type="gramEnd"/>
    </w:p>
    <w:p w:rsidR="00975D68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13C" w:rsidRPr="00B9383F" w:rsidRDefault="0004513C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D68" w:rsidRPr="00B9383F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>………………………………………</w:t>
      </w:r>
    </w:p>
    <w:p w:rsidR="00E51B9A" w:rsidRDefault="001A4E1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Mgr. Helena </w:t>
      </w:r>
      <w:proofErr w:type="spellStart"/>
      <w:r>
        <w:rPr>
          <w:rFonts w:ascii="Times New Roman" w:hAnsi="Times New Roman"/>
          <w:b/>
          <w:sz w:val="24"/>
          <w:szCs w:val="24"/>
        </w:rPr>
        <w:t>Waclawiková</w:t>
      </w:r>
      <w:proofErr w:type="spellEnd"/>
    </w:p>
    <w:p w:rsidR="00975D68" w:rsidRDefault="00975D68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383F">
        <w:rPr>
          <w:rFonts w:ascii="Times New Roman" w:hAnsi="Times New Roman"/>
          <w:b/>
          <w:sz w:val="24"/>
          <w:szCs w:val="24"/>
        </w:rPr>
        <w:t>manažerka pracovní skupiny</w:t>
      </w:r>
    </w:p>
    <w:p w:rsidR="00513DD4" w:rsidRDefault="00513DD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3DD4" w:rsidRDefault="00513DD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6545" w:rsidRDefault="00516545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409B" w:rsidRDefault="00513DD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</w:t>
      </w:r>
    </w:p>
    <w:p w:rsidR="005B409B" w:rsidRDefault="005E62CA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zapsala: </w:t>
      </w:r>
      <w:r w:rsidR="00E51B9A">
        <w:rPr>
          <w:rFonts w:ascii="Times New Roman" w:hAnsi="Times New Roman"/>
          <w:b/>
          <w:sz w:val="24"/>
          <w:szCs w:val="24"/>
        </w:rPr>
        <w:t>Bc. Yvona Dziadková</w:t>
      </w:r>
    </w:p>
    <w:p w:rsidR="001F35AB" w:rsidRDefault="001F35AB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5AB" w:rsidRDefault="001F35AB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F35AB" w:rsidSect="00FF66E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A18" w:rsidRDefault="00890A18">
      <w:pPr>
        <w:spacing w:after="0" w:line="240" w:lineRule="auto"/>
      </w:pPr>
      <w:r>
        <w:separator/>
      </w:r>
    </w:p>
  </w:endnote>
  <w:endnote w:type="continuationSeparator" w:id="0">
    <w:p w:rsidR="00890A18" w:rsidRDefault="0089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E9" w:rsidRDefault="00850E1B">
    <w:pPr>
      <w:pStyle w:val="Zpat"/>
    </w:pPr>
    <w: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E9" w:rsidRDefault="00850E1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D268E">
      <w:rPr>
        <w:noProof/>
      </w:rPr>
      <w:t>3</w:t>
    </w:r>
    <w:r>
      <w:fldChar w:fldCharType="end"/>
    </w:r>
  </w:p>
  <w:p w:rsidR="00FF66E9" w:rsidRDefault="007D2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A18" w:rsidRDefault="00890A18">
      <w:pPr>
        <w:spacing w:after="0" w:line="240" w:lineRule="auto"/>
      </w:pPr>
      <w:r>
        <w:separator/>
      </w:r>
    </w:p>
  </w:footnote>
  <w:footnote w:type="continuationSeparator" w:id="0">
    <w:p w:rsidR="00890A18" w:rsidRDefault="00890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E9" w:rsidRPr="00931EBE" w:rsidRDefault="00850E1B">
    <w:pPr>
      <w:pStyle w:val="Zhlav"/>
      <w:jc w:val="center"/>
    </w:pPr>
    <w:r>
      <w:rPr>
        <w:noProof/>
        <w:lang w:eastAsia="cs-CZ"/>
      </w:rPr>
      <w:drawing>
        <wp:inline distT="0" distB="0" distL="0" distR="0" wp14:anchorId="78B36015" wp14:editId="147A0828">
          <wp:extent cx="899795" cy="89979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9686E">
      <w:rPr>
        <w:rFonts w:ascii="Cambria" w:hAnsi="Cambria"/>
        <w:lang w:eastAsia="cs-CZ"/>
      </w:rPr>
      <w:t xml:space="preserve"> </w:t>
    </w:r>
    <w:r w:rsidRPr="006E7EA7">
      <w:rPr>
        <w:color w:val="0070C0"/>
      </w:rPr>
      <w:t>Komunitní plánování sociálních a návazných služeb na území města Karviná</w:t>
    </w:r>
  </w:p>
  <w:p w:rsidR="00FF66E9" w:rsidRPr="00C0072F" w:rsidRDefault="007D268E">
    <w:pPr>
      <w:pStyle w:val="Zhlav"/>
      <w:rPr>
        <w:rFonts w:ascii="Lucida Calligraphy" w:hAnsi="Lucida Calligraphy"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272D0"/>
    <w:multiLevelType w:val="hybridMultilevel"/>
    <w:tmpl w:val="C2D4B898"/>
    <w:lvl w:ilvl="0" w:tplc="2978671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2FA5119E"/>
    <w:multiLevelType w:val="hybridMultilevel"/>
    <w:tmpl w:val="5CBCEFB4"/>
    <w:lvl w:ilvl="0" w:tplc="2DD0C9A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3966381A"/>
    <w:multiLevelType w:val="hybridMultilevel"/>
    <w:tmpl w:val="4DEE270E"/>
    <w:lvl w:ilvl="0" w:tplc="12A460C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68"/>
    <w:rsid w:val="00022161"/>
    <w:rsid w:val="0002413F"/>
    <w:rsid w:val="00025C04"/>
    <w:rsid w:val="00032374"/>
    <w:rsid w:val="0004362E"/>
    <w:rsid w:val="0004513C"/>
    <w:rsid w:val="00047FB9"/>
    <w:rsid w:val="00055060"/>
    <w:rsid w:val="00056B0C"/>
    <w:rsid w:val="00065EED"/>
    <w:rsid w:val="00066A06"/>
    <w:rsid w:val="00075147"/>
    <w:rsid w:val="000A012A"/>
    <w:rsid w:val="000A0897"/>
    <w:rsid w:val="000B14B7"/>
    <w:rsid w:val="000B6980"/>
    <w:rsid w:val="000C06F3"/>
    <w:rsid w:val="000C0EE5"/>
    <w:rsid w:val="000D7110"/>
    <w:rsid w:val="000E2474"/>
    <w:rsid w:val="00103C04"/>
    <w:rsid w:val="00136E99"/>
    <w:rsid w:val="00141292"/>
    <w:rsid w:val="00151BBC"/>
    <w:rsid w:val="00161E37"/>
    <w:rsid w:val="001639E7"/>
    <w:rsid w:val="0017509C"/>
    <w:rsid w:val="001775C0"/>
    <w:rsid w:val="00184C16"/>
    <w:rsid w:val="00185968"/>
    <w:rsid w:val="001927FC"/>
    <w:rsid w:val="001944D2"/>
    <w:rsid w:val="0019759B"/>
    <w:rsid w:val="001A4E14"/>
    <w:rsid w:val="001A77A5"/>
    <w:rsid w:val="001B0A2B"/>
    <w:rsid w:val="001B21D2"/>
    <w:rsid w:val="001B2D2E"/>
    <w:rsid w:val="001B581E"/>
    <w:rsid w:val="001B6DFA"/>
    <w:rsid w:val="001C6E0B"/>
    <w:rsid w:val="001D0974"/>
    <w:rsid w:val="001D7E7B"/>
    <w:rsid w:val="001F2C37"/>
    <w:rsid w:val="001F35AB"/>
    <w:rsid w:val="00225801"/>
    <w:rsid w:val="0023171B"/>
    <w:rsid w:val="00237027"/>
    <w:rsid w:val="00261EBA"/>
    <w:rsid w:val="00271072"/>
    <w:rsid w:val="0028369A"/>
    <w:rsid w:val="00283E3D"/>
    <w:rsid w:val="00285A48"/>
    <w:rsid w:val="00290F58"/>
    <w:rsid w:val="002A726A"/>
    <w:rsid w:val="002B0332"/>
    <w:rsid w:val="002B2780"/>
    <w:rsid w:val="002B6BD2"/>
    <w:rsid w:val="002B7DF6"/>
    <w:rsid w:val="002B7F7F"/>
    <w:rsid w:val="002B7FE9"/>
    <w:rsid w:val="002E01E4"/>
    <w:rsid w:val="002E4D9F"/>
    <w:rsid w:val="002E50FB"/>
    <w:rsid w:val="002F2840"/>
    <w:rsid w:val="00301C10"/>
    <w:rsid w:val="00317168"/>
    <w:rsid w:val="00327C96"/>
    <w:rsid w:val="003349C7"/>
    <w:rsid w:val="00340499"/>
    <w:rsid w:val="0036743F"/>
    <w:rsid w:val="00372604"/>
    <w:rsid w:val="003847A1"/>
    <w:rsid w:val="00384AE8"/>
    <w:rsid w:val="003A3E20"/>
    <w:rsid w:val="003B307E"/>
    <w:rsid w:val="003C2AFC"/>
    <w:rsid w:val="003D291A"/>
    <w:rsid w:val="003D3EDA"/>
    <w:rsid w:val="003D5EA9"/>
    <w:rsid w:val="003E10EF"/>
    <w:rsid w:val="003E7404"/>
    <w:rsid w:val="00403102"/>
    <w:rsid w:val="00413387"/>
    <w:rsid w:val="00414338"/>
    <w:rsid w:val="00421EC4"/>
    <w:rsid w:val="0043134C"/>
    <w:rsid w:val="00431E45"/>
    <w:rsid w:val="00435D5D"/>
    <w:rsid w:val="00436D66"/>
    <w:rsid w:val="00444B84"/>
    <w:rsid w:val="00460D24"/>
    <w:rsid w:val="00466B92"/>
    <w:rsid w:val="00474140"/>
    <w:rsid w:val="00477F33"/>
    <w:rsid w:val="00486ED3"/>
    <w:rsid w:val="004901D9"/>
    <w:rsid w:val="00495B5F"/>
    <w:rsid w:val="0049642E"/>
    <w:rsid w:val="00496A85"/>
    <w:rsid w:val="00497D3B"/>
    <w:rsid w:val="004A5EA0"/>
    <w:rsid w:val="004B2BCB"/>
    <w:rsid w:val="004B4601"/>
    <w:rsid w:val="004C3A88"/>
    <w:rsid w:val="004D20AB"/>
    <w:rsid w:val="004D259D"/>
    <w:rsid w:val="004D421A"/>
    <w:rsid w:val="004D4777"/>
    <w:rsid w:val="004F5D95"/>
    <w:rsid w:val="00503317"/>
    <w:rsid w:val="00503396"/>
    <w:rsid w:val="0050684E"/>
    <w:rsid w:val="00507C90"/>
    <w:rsid w:val="00513DD4"/>
    <w:rsid w:val="00516545"/>
    <w:rsid w:val="00522364"/>
    <w:rsid w:val="0052459C"/>
    <w:rsid w:val="0055480E"/>
    <w:rsid w:val="0055716F"/>
    <w:rsid w:val="00566638"/>
    <w:rsid w:val="0056685C"/>
    <w:rsid w:val="00580700"/>
    <w:rsid w:val="005935D1"/>
    <w:rsid w:val="005A1519"/>
    <w:rsid w:val="005A1604"/>
    <w:rsid w:val="005A6BA6"/>
    <w:rsid w:val="005B409B"/>
    <w:rsid w:val="005C2954"/>
    <w:rsid w:val="005D7C93"/>
    <w:rsid w:val="005E31B2"/>
    <w:rsid w:val="005E62CA"/>
    <w:rsid w:val="005F575D"/>
    <w:rsid w:val="00601000"/>
    <w:rsid w:val="00617DA0"/>
    <w:rsid w:val="006352A2"/>
    <w:rsid w:val="00636CEB"/>
    <w:rsid w:val="00651652"/>
    <w:rsid w:val="00656D65"/>
    <w:rsid w:val="006710D5"/>
    <w:rsid w:val="00671A13"/>
    <w:rsid w:val="00671B2E"/>
    <w:rsid w:val="00675256"/>
    <w:rsid w:val="00695FE1"/>
    <w:rsid w:val="006A16F5"/>
    <w:rsid w:val="006A7E19"/>
    <w:rsid w:val="006B288B"/>
    <w:rsid w:val="006B768B"/>
    <w:rsid w:val="006B7EAA"/>
    <w:rsid w:val="006C43F3"/>
    <w:rsid w:val="006E0513"/>
    <w:rsid w:val="006E2A4E"/>
    <w:rsid w:val="006E6A83"/>
    <w:rsid w:val="006F77AC"/>
    <w:rsid w:val="00706E02"/>
    <w:rsid w:val="00710E80"/>
    <w:rsid w:val="0072157B"/>
    <w:rsid w:val="007324FE"/>
    <w:rsid w:val="00736B29"/>
    <w:rsid w:val="007524AE"/>
    <w:rsid w:val="0076097D"/>
    <w:rsid w:val="007644BF"/>
    <w:rsid w:val="00770AAE"/>
    <w:rsid w:val="007727FF"/>
    <w:rsid w:val="00774526"/>
    <w:rsid w:val="007746E9"/>
    <w:rsid w:val="00780B38"/>
    <w:rsid w:val="00782E94"/>
    <w:rsid w:val="0079367D"/>
    <w:rsid w:val="007A0044"/>
    <w:rsid w:val="007A1246"/>
    <w:rsid w:val="007A7456"/>
    <w:rsid w:val="007B5546"/>
    <w:rsid w:val="007C26CE"/>
    <w:rsid w:val="007C3EC7"/>
    <w:rsid w:val="007D268E"/>
    <w:rsid w:val="007D5526"/>
    <w:rsid w:val="007E403B"/>
    <w:rsid w:val="007F217D"/>
    <w:rsid w:val="007F62D4"/>
    <w:rsid w:val="007F6C3E"/>
    <w:rsid w:val="00806A03"/>
    <w:rsid w:val="00807651"/>
    <w:rsid w:val="0081184E"/>
    <w:rsid w:val="00821B96"/>
    <w:rsid w:val="008346C6"/>
    <w:rsid w:val="00840D7A"/>
    <w:rsid w:val="00850E1B"/>
    <w:rsid w:val="0086407D"/>
    <w:rsid w:val="008673A4"/>
    <w:rsid w:val="00875D62"/>
    <w:rsid w:val="0087602E"/>
    <w:rsid w:val="00883A41"/>
    <w:rsid w:val="00890A18"/>
    <w:rsid w:val="00895A22"/>
    <w:rsid w:val="008A140A"/>
    <w:rsid w:val="008A19F4"/>
    <w:rsid w:val="008B2CE1"/>
    <w:rsid w:val="008B3196"/>
    <w:rsid w:val="008D09EF"/>
    <w:rsid w:val="008F141F"/>
    <w:rsid w:val="008F5F8C"/>
    <w:rsid w:val="0091426B"/>
    <w:rsid w:val="00921972"/>
    <w:rsid w:val="009237DD"/>
    <w:rsid w:val="0092588A"/>
    <w:rsid w:val="00942DF4"/>
    <w:rsid w:val="009439BD"/>
    <w:rsid w:val="009518E4"/>
    <w:rsid w:val="00962DBE"/>
    <w:rsid w:val="00974BB2"/>
    <w:rsid w:val="00975D68"/>
    <w:rsid w:val="00991CCE"/>
    <w:rsid w:val="009A158A"/>
    <w:rsid w:val="009B0E22"/>
    <w:rsid w:val="009C3B4A"/>
    <w:rsid w:val="009D0898"/>
    <w:rsid w:val="009D32BE"/>
    <w:rsid w:val="009E0E16"/>
    <w:rsid w:val="009E1C09"/>
    <w:rsid w:val="009E3698"/>
    <w:rsid w:val="00A15FF7"/>
    <w:rsid w:val="00A23F44"/>
    <w:rsid w:val="00A337FF"/>
    <w:rsid w:val="00A35C72"/>
    <w:rsid w:val="00A55E65"/>
    <w:rsid w:val="00A57F7B"/>
    <w:rsid w:val="00A60F03"/>
    <w:rsid w:val="00A6549F"/>
    <w:rsid w:val="00A81BEE"/>
    <w:rsid w:val="00A902BA"/>
    <w:rsid w:val="00A945E9"/>
    <w:rsid w:val="00A96E9E"/>
    <w:rsid w:val="00AA2885"/>
    <w:rsid w:val="00AA29FF"/>
    <w:rsid w:val="00AA62E9"/>
    <w:rsid w:val="00AB39EF"/>
    <w:rsid w:val="00AE114F"/>
    <w:rsid w:val="00AE2D50"/>
    <w:rsid w:val="00AE43EA"/>
    <w:rsid w:val="00AF2381"/>
    <w:rsid w:val="00AF3854"/>
    <w:rsid w:val="00B07DAE"/>
    <w:rsid w:val="00B147A6"/>
    <w:rsid w:val="00B20718"/>
    <w:rsid w:val="00B26F93"/>
    <w:rsid w:val="00B317C2"/>
    <w:rsid w:val="00B3275C"/>
    <w:rsid w:val="00B32BD9"/>
    <w:rsid w:val="00B44766"/>
    <w:rsid w:val="00B4679B"/>
    <w:rsid w:val="00B4726D"/>
    <w:rsid w:val="00B47457"/>
    <w:rsid w:val="00B65952"/>
    <w:rsid w:val="00BA07D8"/>
    <w:rsid w:val="00BB53D8"/>
    <w:rsid w:val="00BB7088"/>
    <w:rsid w:val="00BC29ED"/>
    <w:rsid w:val="00C0294A"/>
    <w:rsid w:val="00C07575"/>
    <w:rsid w:val="00C11DCF"/>
    <w:rsid w:val="00C1321F"/>
    <w:rsid w:val="00C16E69"/>
    <w:rsid w:val="00C24A95"/>
    <w:rsid w:val="00C26E8F"/>
    <w:rsid w:val="00C30A1D"/>
    <w:rsid w:val="00C32010"/>
    <w:rsid w:val="00C3712D"/>
    <w:rsid w:val="00C40A7E"/>
    <w:rsid w:val="00C46694"/>
    <w:rsid w:val="00C56364"/>
    <w:rsid w:val="00C6090F"/>
    <w:rsid w:val="00C9449F"/>
    <w:rsid w:val="00CE152D"/>
    <w:rsid w:val="00CE15E4"/>
    <w:rsid w:val="00CE2334"/>
    <w:rsid w:val="00CE5A13"/>
    <w:rsid w:val="00CF0CB1"/>
    <w:rsid w:val="00CF213E"/>
    <w:rsid w:val="00CF63AD"/>
    <w:rsid w:val="00D04CC4"/>
    <w:rsid w:val="00D24913"/>
    <w:rsid w:val="00D364D5"/>
    <w:rsid w:val="00D42493"/>
    <w:rsid w:val="00D447F2"/>
    <w:rsid w:val="00D6344D"/>
    <w:rsid w:val="00D76EAF"/>
    <w:rsid w:val="00D85309"/>
    <w:rsid w:val="00D96C78"/>
    <w:rsid w:val="00DA19BA"/>
    <w:rsid w:val="00DA3D75"/>
    <w:rsid w:val="00DB1C47"/>
    <w:rsid w:val="00DB743F"/>
    <w:rsid w:val="00DC4F6A"/>
    <w:rsid w:val="00DD0E80"/>
    <w:rsid w:val="00DD3E33"/>
    <w:rsid w:val="00DE0EF9"/>
    <w:rsid w:val="00DE31E5"/>
    <w:rsid w:val="00E00761"/>
    <w:rsid w:val="00E10645"/>
    <w:rsid w:val="00E128C4"/>
    <w:rsid w:val="00E15D89"/>
    <w:rsid w:val="00E17B5B"/>
    <w:rsid w:val="00E17F09"/>
    <w:rsid w:val="00E2537A"/>
    <w:rsid w:val="00E31A39"/>
    <w:rsid w:val="00E3644A"/>
    <w:rsid w:val="00E40859"/>
    <w:rsid w:val="00E4338D"/>
    <w:rsid w:val="00E47137"/>
    <w:rsid w:val="00E51B9A"/>
    <w:rsid w:val="00E557B3"/>
    <w:rsid w:val="00E62BD0"/>
    <w:rsid w:val="00E665CD"/>
    <w:rsid w:val="00E74DEC"/>
    <w:rsid w:val="00E84408"/>
    <w:rsid w:val="00E872B6"/>
    <w:rsid w:val="00EB726D"/>
    <w:rsid w:val="00ED4D36"/>
    <w:rsid w:val="00ED5A11"/>
    <w:rsid w:val="00EE2D57"/>
    <w:rsid w:val="00EE77B3"/>
    <w:rsid w:val="00F10B54"/>
    <w:rsid w:val="00F21104"/>
    <w:rsid w:val="00F43768"/>
    <w:rsid w:val="00F44A38"/>
    <w:rsid w:val="00F52F1E"/>
    <w:rsid w:val="00F60797"/>
    <w:rsid w:val="00F64811"/>
    <w:rsid w:val="00F65952"/>
    <w:rsid w:val="00F77D98"/>
    <w:rsid w:val="00F86078"/>
    <w:rsid w:val="00F95070"/>
    <w:rsid w:val="00F97374"/>
    <w:rsid w:val="00FA54D0"/>
    <w:rsid w:val="00FA69B0"/>
    <w:rsid w:val="00FB0FA5"/>
    <w:rsid w:val="00FB7389"/>
    <w:rsid w:val="00FC09B8"/>
    <w:rsid w:val="00FC1A6A"/>
    <w:rsid w:val="00FC3809"/>
    <w:rsid w:val="00FD4AF4"/>
    <w:rsid w:val="00FE4543"/>
    <w:rsid w:val="00FE4C4B"/>
    <w:rsid w:val="00FE73FB"/>
    <w:rsid w:val="00FE774E"/>
    <w:rsid w:val="00FF232F"/>
    <w:rsid w:val="00FF3D04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EE3B"/>
  <w15:docId w15:val="{BB015C3F-159C-40B5-96E1-67F18979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367D"/>
  </w:style>
  <w:style w:type="paragraph" w:styleId="Nadpis1">
    <w:name w:val="heading 1"/>
    <w:basedOn w:val="Normln"/>
    <w:next w:val="Normln"/>
    <w:link w:val="Nadpis1Char"/>
    <w:uiPriority w:val="9"/>
    <w:qFormat/>
    <w:rsid w:val="0079367D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367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36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9367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367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367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367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367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367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367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7936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79367D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Zhlav">
    <w:name w:val="header"/>
    <w:basedOn w:val="Normln"/>
    <w:link w:val="ZhlavChar"/>
    <w:rsid w:val="00975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75D68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rsid w:val="00975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75D68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975D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D68"/>
    <w:rPr>
      <w:rFonts w:ascii="Tahoma" w:eastAsia="Times New Roman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79367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styleId="Siln">
    <w:name w:val="Strong"/>
    <w:basedOn w:val="Standardnpsmoodstavce"/>
    <w:uiPriority w:val="22"/>
    <w:qFormat/>
    <w:rsid w:val="0079367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9367D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ormlnweb">
    <w:name w:val="Normal (Web)"/>
    <w:basedOn w:val="Normln"/>
    <w:uiPriority w:val="99"/>
    <w:unhideWhenUsed/>
    <w:rsid w:val="0051654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grkhzd">
    <w:name w:val="grkhzd"/>
    <w:basedOn w:val="Standardnpsmoodstavce"/>
    <w:rsid w:val="00F64811"/>
  </w:style>
  <w:style w:type="character" w:customStyle="1" w:styleId="lrzxr">
    <w:name w:val="lrzxr"/>
    <w:basedOn w:val="Standardnpsmoodstavce"/>
    <w:rsid w:val="00F64811"/>
  </w:style>
  <w:style w:type="character" w:styleId="Hypertextovodkaz">
    <w:name w:val="Hyperlink"/>
    <w:basedOn w:val="Standardnpsmoodstavce"/>
    <w:uiPriority w:val="99"/>
    <w:unhideWhenUsed/>
    <w:rsid w:val="00F64811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79367D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367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367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elementor-icon-list-text">
    <w:name w:val="elementor-icon-list-text"/>
    <w:basedOn w:val="Standardnpsmoodstavce"/>
    <w:rsid w:val="008B2CE1"/>
  </w:style>
  <w:style w:type="paragraph" w:styleId="Bezmezer">
    <w:name w:val="No Spacing"/>
    <w:uiPriority w:val="1"/>
    <w:qFormat/>
    <w:rsid w:val="0079367D"/>
    <w:pPr>
      <w:spacing w:after="0" w:line="240" w:lineRule="auto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79367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367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367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9367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7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79367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draznn">
    <w:name w:val="Emphasis"/>
    <w:basedOn w:val="Standardnpsmoodstavce"/>
    <w:uiPriority w:val="20"/>
    <w:qFormat/>
    <w:rsid w:val="0079367D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79367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9367D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367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367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9367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9367D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79367D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79367D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79367D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9367D"/>
    <w:pPr>
      <w:outlineLvl w:val="9"/>
    </w:pPr>
  </w:style>
  <w:style w:type="table" w:styleId="Svtltabulkasmkou1zvraznn6">
    <w:name w:val="Grid Table 1 Light Accent 6"/>
    <w:basedOn w:val="Normlntabulka"/>
    <w:uiPriority w:val="46"/>
    <w:rsid w:val="00136E99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2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AF5AE-48AB-4B0E-93A8-A83027F3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KONTAKT Karviná, terénní program</dc:creator>
  <cp:lastModifiedBy>Wiechećová Andrea</cp:lastModifiedBy>
  <cp:revision>3</cp:revision>
  <cp:lastPrinted>2022-09-22T12:29:00Z</cp:lastPrinted>
  <dcterms:created xsi:type="dcterms:W3CDTF">2022-11-04T08:29:00Z</dcterms:created>
  <dcterms:modified xsi:type="dcterms:W3CDTF">2022-11-04T08:31:00Z</dcterms:modified>
</cp:coreProperties>
</file>